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atLeast"/>
        <w:jc w:val="center"/>
        <w:textAlignment w:val="auto"/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Times New Roman" w:hAnsi="Times New Roman" w:eastAsia="宋体" w:cs="宋体"/>
          <w:b/>
          <w:bCs/>
          <w:sz w:val="32"/>
          <w:szCs w:val="32"/>
          <w:lang w:val="en-US" w:eastAsia="zh-CN"/>
        </w:rPr>
        <w:t>浙江三铁信息技术有限公司基本情况</w:t>
      </w:r>
      <w:bookmarkEnd w:id="0"/>
    </w:p>
    <w:p>
      <w:pPr>
        <w:widowControl w:val="0"/>
        <w:numPr>
          <w:ilvl w:val="0"/>
          <w:numId w:val="0"/>
        </w:numPr>
        <w:spacing w:line="360" w:lineRule="auto"/>
        <w:ind w:firstLine="481"/>
        <w:jc w:val="left"/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一、工商登记信息</w:t>
      </w:r>
    </w:p>
    <w:p>
      <w:pPr>
        <w:widowControl w:val="0"/>
        <w:numPr>
          <w:ilvl w:val="0"/>
          <w:numId w:val="0"/>
        </w:numPr>
        <w:spacing w:line="360" w:lineRule="auto"/>
        <w:ind w:firstLine="481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浙江三铁信息技术有限公司成立于2018年3月14日，公司类型为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Hans" w:bidi="ar-SA"/>
        </w:rPr>
        <w:t>有限责任公司（外商投资、非独资）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，住所地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Hans" w:bidi="ar-SA"/>
        </w:rPr>
        <w:t>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浙江省嘉兴市昌盛南路36号3幢601室，法定代表人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Hans" w:bidi="ar-SA"/>
        </w:rPr>
        <w:t>崔玉柱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。注册资本1530.6122万元人民币，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Hans" w:bidi="ar-SA"/>
        </w:rPr>
        <w:t>统一社会信用代码：91330401MA2B9HAP4G。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公司股东为海盐紧星五金制品有限公司、上海佰铁管理咨询合伙企业（有限合伙）、上海佰佑企业管理咨询合伙企业（有限合伙）、Fountainbridge Fund I LP、青岛君辰投资管理合伙企业（有限合伙）、诸暨君驰股权投资合伙企业（有限合伙）、湖州君行投资管理合伙企业（有限合伙），出资1000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Hans" w:bidi="ar-SA"/>
        </w:rPr>
        <w:t>万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元、153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Hans" w:bidi="ar-SA"/>
        </w:rPr>
        <w:t>.0612万元、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153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Hans" w:bidi="ar-SA"/>
        </w:rPr>
        <w:t>.0612万元、71.4286万元、66.3265万元、51.0204万元、35.7143万元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，出资比例65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Hans" w:bidi="ar-SA"/>
        </w:rPr>
        <w:t>.3333%、10%、10%、4.6667%、3.3333%、2.3333%。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公司经营期限为自2018年3月14日至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Hans" w:bidi="ar-SA"/>
        </w:rPr>
        <w:t>无固定期限。</w:t>
      </w:r>
    </w:p>
    <w:p>
      <w:pPr>
        <w:widowControl w:val="0"/>
        <w:numPr>
          <w:ilvl w:val="0"/>
          <w:numId w:val="0"/>
        </w:numPr>
        <w:spacing w:line="360" w:lineRule="auto"/>
        <w:ind w:firstLine="481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公司经营范围为：一般项目：技术服务、技术开发、技术咨询、技术交流、技术转让、技术推广；普通机械设备安装服务；计算机软硬件及辅助设备零售；计算机及办公设备维修；信息系统集成服务；五金产品零售；模具销售；电子元器件零售；阀门和旋塞销售；特种设备销售；仪器仪表销售；照明器具销售；劳动保护用品销售；试验机销售；普通货物仓储服务（不含危险化学品等需许可审批的项目）；包装材料及制品销售；橡胶制品销售；包装服务(除依法须经批准的项目外，凭营业执照依法自主开展经营活动)。</w:t>
      </w:r>
    </w:p>
    <w:p>
      <w:pPr>
        <w:widowControl w:val="0"/>
        <w:numPr>
          <w:ilvl w:val="0"/>
          <w:numId w:val="0"/>
        </w:numPr>
        <w:spacing w:line="360" w:lineRule="auto"/>
        <w:ind w:firstLine="481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二、关联公司基本情况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三铁公司因其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Hans" w:bidi="ar"/>
        </w:rPr>
        <w:t>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经营需求而在全国多地全资设立子公司10家及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Hans" w:bidi="ar"/>
        </w:rPr>
        <w:t>控股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55%青岛三铁供应链有限公司的基本情况，该11家关联公司具体的情况如下：</w:t>
      </w:r>
    </w:p>
    <w:tbl>
      <w:tblPr>
        <w:tblStyle w:val="2"/>
        <w:tblpPr w:leftFromText="180" w:rightFromText="180" w:vertAnchor="text" w:horzAnchor="page" w:tblpX="1641" w:tblpY="215"/>
        <w:tblOverlap w:val="never"/>
        <w:tblW w:w="840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3524"/>
        <w:gridCol w:w="910"/>
        <w:gridCol w:w="1384"/>
        <w:gridCol w:w="21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注册资本（万）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实缴情况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嘉兴三铁信息技术有限公司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到位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嘉兴市南湖区新丰镇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海盐三铁供应链有限公司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未到位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嘉兴海盐武原街道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三铁供应链（广州）有限公司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到位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广州市南沙区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沈阳三块神铁仓储服务有限公司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500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实缴 375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Hans" w:bidi="ar"/>
              </w:rPr>
              <w:t>万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沈阳市于洪区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苏州三块神铁信息技术有限公司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到位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苏州工业园区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邯郸三铁供应链管理有限公司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实缴109.29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Hans" w:bidi="ar"/>
              </w:rPr>
              <w:t>万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邯郸市丛台区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天津紧固之星商贸有限公司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到位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天津市西青区中北镇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泉州三铁供应链有限责任公司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到位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泉州市南安市霞美镇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兴化市北鼎物流有限公司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到位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兴化市戴南镇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天津三铁供应链有限公司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50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Hans" w:bidi="ar"/>
              </w:rPr>
              <w:t>实缴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10.45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Hans" w:bidi="ar"/>
              </w:rPr>
              <w:t>万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天津市西青区中北镇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青岛三铁供应链有限公司（55%股权）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Hans" w:bidi="ar"/>
              </w:rPr>
              <w:t>500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Hans" w:bidi="ar"/>
              </w:rPr>
              <w:t>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实缴275万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青岛市城阳区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宋体"/>
          <w:b/>
          <w:bCs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  <w:t>经营模式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经营模式系其以三铁公司为母公司设立“五金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Hans"/>
        </w:rPr>
        <w:t>紧固件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产业供应链服务”的互联网平台，由其控股或占股的关联公司搭建具备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Hans"/>
        </w:rPr>
        <w:t>仓储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Hans"/>
        </w:rPr>
        <w:t>配送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功能的服务渠道，试图促使制造商、批发商和零售商在其平台上实现线上直接交易，并利用其搭建的线下仓储、物流优势实现工业品高效流通交易的目的。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482" w:firstLineChars="200"/>
        <w:jc w:val="left"/>
        <w:textAlignment w:val="auto"/>
        <w:outlineLvl w:val="9"/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  <w:t>四、财务资料情况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562"/>
        <w:jc w:val="left"/>
        <w:textAlignment w:val="auto"/>
        <w:outlineLvl w:val="9"/>
        <w:rPr>
          <w:rFonts w:hint="default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管理人目前已接管了三铁公司的财务账册、会计账簿、记账凭证、裁判文书等可反馈公司资产的财务资料。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 xml:space="preserve"> </w:t>
      </w:r>
    </w:p>
    <w:p>
      <w:pPr>
        <w:spacing w:line="560" w:lineRule="atLeast"/>
        <w:jc w:val="center"/>
        <w:rPr>
          <w:rFonts w:hint="eastAsia" w:ascii="Times New Roman" w:hAnsi="Times New Roman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9E6485"/>
    <w:multiLevelType w:val="singleLevel"/>
    <w:tmpl w:val="6F9E648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TAxNjFjZWQyYThiYWVhYTg2ODkxZmIxYjY0NzAifQ=="/>
  </w:docVars>
  <w:rsids>
    <w:rsidRoot w:val="073D6C1F"/>
    <w:rsid w:val="073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after="160" w:line="413" w:lineRule="auto"/>
    </w:pPr>
    <w:rPr>
      <w:rFonts w:ascii="MingLiU" w:hAnsi="MingLiU" w:eastAsia="MingLiU" w:cs="MingLiU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2022-05-27T01:15:00Z</dcterms:created>
  <dc:creator>暴力书生</dc:creator>
  <cp:lastModifiedBy>暴力书生</cp:lastModifiedBy>
  <dcterms:modified xsi:type="dcterms:W3CDTF">2022-05-27T01:15:51Z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18912B315CB743A785C4A4354B217E2B</vt:lpwstr>
  </property>
</Properties>
</file>