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  <w:lang w:val="en-US" w:eastAsia="zh-CN"/>
        </w:rPr>
        <w:t>附件一：</w:t>
      </w:r>
    </w:p>
    <w:p>
      <w:pPr>
        <w:jc w:val="center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评估费收费计算标准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一、计费基数标准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本计费基数标准依据浙价服〔2011〕90号文件中基本鉴定费的规定确定，如下表：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8595" cy="2984500"/>
            <wp:effectExtent l="0" t="0" r="8255" b="6350"/>
            <wp:docPr id="1" name="图片 1" descr="16269175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69175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评估费实收费用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left"/>
        <w:textAlignment w:val="auto"/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评估费用实收费用为：按照评估机构承诺的报价但最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Hans"/>
        </w:rPr>
        <w:t>高</w:t>
      </w: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不高于20万元。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righ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嘉兴中港投资有限公司</w:t>
      </w:r>
      <w:r>
        <w:rPr>
          <w:rFonts w:hint="eastAsia" w:ascii="Times New Roman" w:hAnsi="Times New Roman" w:eastAsia="宋体" w:cs="宋体"/>
          <w:sz w:val="28"/>
          <w:szCs w:val="28"/>
        </w:rPr>
        <w:t>管理人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right"/>
        <w:textAlignment w:val="auto"/>
        <w:outlineLvl w:val="9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嘉兴摩根大饭店有限公司管理人</w:t>
      </w:r>
    </w:p>
    <w:p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宋体" w:cs="宋体"/>
          <w:sz w:val="28"/>
          <w:szCs w:val="28"/>
        </w:rPr>
        <w:t>20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default" w:ascii="Times New Roman" w:hAnsi="Times New Roman" w:eastAsia="宋体" w:cs="宋体"/>
          <w:sz w:val="28"/>
          <w:szCs w:val="28"/>
          <w:lang w:eastAsia="zh-CN"/>
        </w:rPr>
        <w:t>8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hint="default" w:ascii="Times New Roman" w:hAnsi="Times New Roman" w:eastAsia="宋体" w:cs="宋体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AAFA8"/>
    <w:multiLevelType w:val="singleLevel"/>
    <w:tmpl w:val="BF6AAF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44071"/>
    <w:rsid w:val="733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160" w:line="413" w:lineRule="auto"/>
    </w:pPr>
    <w:rPr>
      <w:rFonts w:ascii="MingLiU" w:hAnsi="MingLiU" w:eastAsia="MingLiU" w:cs="MingLiU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2021-08-03T04:59:00Z</dcterms:created>
  <dc:creator>47402</dc:creator>
  <cp:lastModifiedBy>47402</cp:lastModifiedBy>
  <dcterms:modified xsi:type="dcterms:W3CDTF">2021-08-03T05:00:08Z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