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1"/>
          <w:lang w:val="en-US" w:eastAsia="zh-CN"/>
        </w:rPr>
        <w:t>附件一：</w:t>
      </w:r>
    </w:p>
    <w:p>
      <w:pPr>
        <w:jc w:val="center"/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评估费收费计算标准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  <w:t>一、计费基数标准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本计费基数标准依据浙价服〔2011〕90号文件中基本鉴定费的规定确定，如下表：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68595" cy="2984500"/>
            <wp:effectExtent l="0" t="0" r="8255" b="6350"/>
            <wp:docPr id="1" name="图片 1" descr="16269175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691753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  <w:t>评估费实收费用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  <w:t>评估费用实收费用为：按照评估机构承诺的报价但最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Hans"/>
        </w:rPr>
        <w:t>高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  <w:t>不高于20万元。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right"/>
        <w:textAlignment w:val="auto"/>
        <w:outlineLvl w:val="9"/>
        <w:rPr>
          <w:rFonts w:hint="eastAsia"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 xml:space="preserve"> 嘉兴中港投资有限公司</w:t>
      </w:r>
      <w:r>
        <w:rPr>
          <w:rFonts w:hint="eastAsia" w:ascii="Times New Roman" w:hAnsi="Times New Roman" w:eastAsia="宋体" w:cs="宋体"/>
          <w:sz w:val="28"/>
          <w:szCs w:val="28"/>
        </w:rPr>
        <w:t>管理人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right"/>
        <w:textAlignment w:val="auto"/>
        <w:outlineLvl w:val="9"/>
        <w:rPr>
          <w:rFonts w:hint="eastAsia"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嘉兴摩根大饭店有限公司管理人</w:t>
      </w:r>
    </w:p>
    <w:p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宋体" w:cs="宋体"/>
          <w:sz w:val="28"/>
          <w:szCs w:val="28"/>
        </w:rPr>
        <w:t>20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eastAsia="宋体" w:cs="宋体"/>
          <w:sz w:val="28"/>
          <w:szCs w:val="28"/>
        </w:rPr>
        <w:t>年</w:t>
      </w:r>
      <w:r>
        <w:rPr>
          <w:rFonts w:hint="default" w:ascii="Times New Roman" w:hAnsi="Times New Roman" w:eastAsia="宋体" w:cs="宋体"/>
          <w:sz w:val="28"/>
          <w:szCs w:val="28"/>
          <w:lang w:eastAsia="zh-CN"/>
        </w:rPr>
        <w:t>8</w:t>
      </w:r>
      <w:r>
        <w:rPr>
          <w:rFonts w:hint="eastAsia" w:ascii="Times New Roman" w:hAnsi="Times New Roman" w:eastAsia="宋体" w:cs="宋体"/>
          <w:sz w:val="28"/>
          <w:szCs w:val="28"/>
        </w:rPr>
        <w:t>月</w:t>
      </w:r>
      <w:r>
        <w:rPr>
          <w:rFonts w:hint="default" w:ascii="Times New Roman" w:hAnsi="Times New Roman" w:eastAsia="宋体" w:cs="宋体"/>
          <w:sz w:val="28"/>
          <w:szCs w:val="28"/>
          <w:lang w:eastAsia="zh-CN"/>
        </w:rPr>
        <w:t>2</w: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AAFA8"/>
    <w:multiLevelType w:val="singleLevel"/>
    <w:tmpl w:val="BF6AAFA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4071"/>
    <w:rsid w:val="733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160" w:line="413" w:lineRule="auto"/>
    </w:pPr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2021-08-03T04:59:00Z</dcterms:created>
  <dc:creator>47402</dc:creator>
  <cp:lastModifiedBy>47402</cp:lastModifiedBy>
  <dcterms:modified xsi:type="dcterms:W3CDTF">2021-08-03T05:00:08Z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